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18" w:rsidRPr="006469D5" w:rsidRDefault="0037136A">
      <w:pPr>
        <w:rPr>
          <w:sz w:val="40"/>
          <w:szCs w:val="40"/>
        </w:rPr>
      </w:pPr>
      <w:r w:rsidRPr="006469D5">
        <w:rPr>
          <w:sz w:val="40"/>
          <w:szCs w:val="40"/>
        </w:rPr>
        <w:t>Uterine Fibroid</w:t>
      </w:r>
    </w:p>
    <w:p w:rsidR="0037136A" w:rsidRPr="006469D5" w:rsidRDefault="006469D5">
      <w:p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6469D5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Introduction - </w:t>
      </w:r>
      <w:r w:rsidR="0037136A" w:rsidRPr="006469D5">
        <w:rPr>
          <w:rFonts w:ascii="Arial" w:hAnsi="Arial" w:cs="Arial"/>
          <w:color w:val="000000"/>
          <w:sz w:val="40"/>
          <w:szCs w:val="40"/>
          <w:shd w:val="clear" w:color="auto" w:fill="FFFFFF"/>
        </w:rPr>
        <w:t>Ute</w:t>
      </w:r>
      <w:r w:rsidRPr="006469D5">
        <w:rPr>
          <w:rFonts w:ascii="Arial" w:hAnsi="Arial" w:cs="Arial"/>
          <w:color w:val="000000"/>
          <w:sz w:val="40"/>
          <w:szCs w:val="40"/>
          <w:shd w:val="clear" w:color="auto" w:fill="FFFFFF"/>
        </w:rPr>
        <w:t>rine fibroids (UF) or benign growth found in uterus,</w:t>
      </w:r>
      <w:r w:rsidR="0037136A" w:rsidRPr="006469D5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are found in 25% to 35% women of reproductive age.</w:t>
      </w:r>
    </w:p>
    <w:p w:rsidR="006469D5" w:rsidRDefault="006469D5">
      <w:p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6469D5">
        <w:rPr>
          <w:rFonts w:ascii="Arial" w:hAnsi="Arial" w:cs="Arial"/>
          <w:color w:val="000000"/>
          <w:sz w:val="40"/>
          <w:szCs w:val="40"/>
          <w:shd w:val="clear" w:color="auto" w:fill="FFFFFF"/>
        </w:rPr>
        <w:t>C</w:t>
      </w: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>auses of uterine fibroid</w:t>
      </w:r>
    </w:p>
    <w:p w:rsidR="006469D5" w:rsidRDefault="006469D5" w:rsidP="006469D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6469D5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Most often unclear, </w:t>
      </w:r>
    </w:p>
    <w:p w:rsidR="006469D5" w:rsidRDefault="006469D5" w:rsidP="006469D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proofErr w:type="gramStart"/>
      <w:r w:rsidRPr="006469D5">
        <w:rPr>
          <w:rFonts w:ascii="Arial" w:hAnsi="Arial" w:cs="Arial"/>
          <w:color w:val="000000"/>
          <w:sz w:val="40"/>
          <w:szCs w:val="40"/>
          <w:shd w:val="clear" w:color="auto" w:fill="FFFFFF"/>
        </w:rPr>
        <w:t>often</w:t>
      </w:r>
      <w:proofErr w:type="gramEnd"/>
      <w:r w:rsidRPr="006469D5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found with increased </w:t>
      </w:r>
      <w:proofErr w:type="spellStart"/>
      <w:r w:rsidRPr="006469D5">
        <w:rPr>
          <w:rFonts w:ascii="Arial" w:hAnsi="Arial" w:cs="Arial"/>
          <w:color w:val="000000"/>
          <w:sz w:val="40"/>
          <w:szCs w:val="40"/>
          <w:shd w:val="clear" w:color="auto" w:fill="FFFFFF"/>
        </w:rPr>
        <w:t>oestrogen</w:t>
      </w:r>
      <w:proofErr w:type="spellEnd"/>
      <w:r w:rsidRPr="006469D5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levels.</w:t>
      </w:r>
    </w:p>
    <w:p w:rsidR="006469D5" w:rsidRDefault="006469D5" w:rsidP="006469D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>G</w:t>
      </w:r>
      <w:r w:rsidRPr="006469D5">
        <w:rPr>
          <w:rFonts w:ascii="Arial" w:hAnsi="Arial" w:cs="Arial"/>
          <w:color w:val="000000"/>
          <w:sz w:val="40"/>
          <w:szCs w:val="40"/>
          <w:shd w:val="clear" w:color="auto" w:fill="FFFFFF"/>
        </w:rPr>
        <w:t>enetic factor also plays the role</w:t>
      </w: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>.</w:t>
      </w:r>
    </w:p>
    <w:p w:rsidR="006469D5" w:rsidRDefault="006469D5" w:rsidP="006469D5">
      <w:pPr>
        <w:pStyle w:val="ListParagraph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</w:p>
    <w:p w:rsidR="006469D5" w:rsidRDefault="006469D5" w:rsidP="006469D5">
      <w:p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>Symptoms</w:t>
      </w:r>
    </w:p>
    <w:p w:rsidR="006469D5" w:rsidRPr="00A54B41" w:rsidRDefault="006469D5" w:rsidP="00A54B41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A54B41">
        <w:rPr>
          <w:rFonts w:ascii="Arial" w:hAnsi="Arial" w:cs="Arial"/>
          <w:color w:val="000000"/>
          <w:sz w:val="40"/>
          <w:szCs w:val="40"/>
          <w:shd w:val="clear" w:color="auto" w:fill="FFFFFF"/>
        </w:rPr>
        <w:t>Excessive, prolonged irregular bleeding</w:t>
      </w:r>
    </w:p>
    <w:p w:rsidR="006469D5" w:rsidRPr="00A54B41" w:rsidRDefault="006469D5" w:rsidP="00A54B41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A54B41">
        <w:rPr>
          <w:rFonts w:ascii="Arial" w:hAnsi="Arial" w:cs="Arial"/>
          <w:color w:val="000000"/>
          <w:sz w:val="40"/>
          <w:szCs w:val="40"/>
          <w:shd w:val="clear" w:color="auto" w:fill="FFFFFF"/>
        </w:rPr>
        <w:t>Pain in lower abdomen during menses.</w:t>
      </w:r>
    </w:p>
    <w:p w:rsidR="006469D5" w:rsidRDefault="006469D5" w:rsidP="006469D5">
      <w:p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Diagnosis </w:t>
      </w:r>
    </w:p>
    <w:p w:rsidR="006469D5" w:rsidRPr="00A54B41" w:rsidRDefault="006469D5" w:rsidP="00A54B41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A54B41">
        <w:rPr>
          <w:rFonts w:ascii="Arial" w:hAnsi="Arial" w:cs="Arial"/>
          <w:color w:val="000000"/>
          <w:sz w:val="40"/>
          <w:szCs w:val="40"/>
          <w:shd w:val="clear" w:color="auto" w:fill="FFFFFF"/>
        </w:rPr>
        <w:t>USG</w:t>
      </w:r>
      <w:r w:rsidR="00772BE3" w:rsidRPr="00A54B41">
        <w:rPr>
          <w:rFonts w:ascii="Arial" w:hAnsi="Arial" w:cs="Arial"/>
          <w:color w:val="000000"/>
          <w:sz w:val="40"/>
          <w:szCs w:val="40"/>
          <w:shd w:val="clear" w:color="auto" w:fill="FFFFFF"/>
        </w:rPr>
        <w:t>[abdomen and pelvis]</w:t>
      </w:r>
    </w:p>
    <w:p w:rsidR="00E538BA" w:rsidRPr="00A54B41" w:rsidRDefault="00E538BA" w:rsidP="00A54B41">
      <w:p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A54B41">
        <w:rPr>
          <w:rFonts w:ascii="Arial" w:hAnsi="Arial" w:cs="Arial"/>
          <w:color w:val="000000"/>
          <w:sz w:val="40"/>
          <w:szCs w:val="40"/>
          <w:shd w:val="clear" w:color="auto" w:fill="FFFFFF"/>
        </w:rPr>
        <w:t>Conventional treatment</w:t>
      </w:r>
    </w:p>
    <w:p w:rsidR="00E538BA" w:rsidRPr="00A54B41" w:rsidRDefault="00E538BA" w:rsidP="00A54B41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A54B41">
        <w:rPr>
          <w:rFonts w:ascii="Arial" w:hAnsi="Arial" w:cs="Arial"/>
          <w:color w:val="000000"/>
          <w:sz w:val="40"/>
          <w:szCs w:val="40"/>
          <w:shd w:val="clear" w:color="auto" w:fill="FFFFFF"/>
        </w:rPr>
        <w:t>NSAID’s</w:t>
      </w:r>
    </w:p>
    <w:p w:rsidR="00E538BA" w:rsidRPr="00A54B41" w:rsidRDefault="00E538BA" w:rsidP="00A54B41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A54B41">
        <w:rPr>
          <w:rFonts w:ascii="Arial" w:hAnsi="Arial" w:cs="Arial"/>
          <w:color w:val="000000"/>
          <w:sz w:val="40"/>
          <w:szCs w:val="40"/>
          <w:shd w:val="clear" w:color="auto" w:fill="FFFFFF"/>
        </w:rPr>
        <w:t>Hormonal tablets</w:t>
      </w:r>
    </w:p>
    <w:p w:rsidR="00E538BA" w:rsidRPr="00A54B41" w:rsidRDefault="00E538BA" w:rsidP="00A54B41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A54B41">
        <w:rPr>
          <w:rFonts w:ascii="Arial" w:hAnsi="Arial" w:cs="Arial"/>
          <w:color w:val="000000"/>
          <w:sz w:val="40"/>
          <w:szCs w:val="40"/>
          <w:shd w:val="clear" w:color="auto" w:fill="FFFFFF"/>
        </w:rPr>
        <w:t>Intra uterine device</w:t>
      </w:r>
    </w:p>
    <w:p w:rsidR="00E538BA" w:rsidRPr="00A54B41" w:rsidRDefault="00E538BA" w:rsidP="00A54B41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A54B41">
        <w:rPr>
          <w:rFonts w:ascii="Arial" w:hAnsi="Arial" w:cs="Arial"/>
          <w:color w:val="000000"/>
          <w:sz w:val="40"/>
          <w:szCs w:val="40"/>
          <w:shd w:val="clear" w:color="auto" w:fill="FFFFFF"/>
        </w:rPr>
        <w:t>Hysterectomy</w:t>
      </w:r>
    </w:p>
    <w:p w:rsidR="00A54B41" w:rsidRDefault="00A54B41" w:rsidP="006469D5">
      <w:p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</w:p>
    <w:p w:rsidR="00A54B41" w:rsidRDefault="00A54B41" w:rsidP="006469D5">
      <w:p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lastRenderedPageBreak/>
        <w:t>Homopathy</w:t>
      </w:r>
      <w:proofErr w:type="spellEnd"/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treatment-</w:t>
      </w:r>
    </w:p>
    <w:p w:rsidR="00A54B41" w:rsidRDefault="00A54B41" w:rsidP="006469D5">
      <w:p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Early, mild to </w:t>
      </w:r>
      <w:proofErr w:type="spellStart"/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>modeate</w:t>
      </w:r>
      <w:proofErr w:type="spellEnd"/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sized fibroids respond better as compared to larger sized </w:t>
      </w:r>
      <w:proofErr w:type="spellStart"/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>fibroids.Homeopathy</w:t>
      </w:r>
      <w:proofErr w:type="spellEnd"/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treatment is based on totality of symptoms present in the </w:t>
      </w:r>
      <w:proofErr w:type="spellStart"/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>patient.Most</w:t>
      </w:r>
      <w:proofErr w:type="spellEnd"/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often the remedies which have been found </w:t>
      </w:r>
      <w:proofErr w:type="spellStart"/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>usefull</w:t>
      </w:r>
      <w:proofErr w:type="spellEnd"/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are as given below-</w:t>
      </w:r>
    </w:p>
    <w:p w:rsidR="00A54B41" w:rsidRPr="00A54B41" w:rsidRDefault="00A54B41" w:rsidP="00A54B41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proofErr w:type="spellStart"/>
      <w:r w:rsidRPr="00A54B41">
        <w:rPr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Calcarea</w:t>
      </w:r>
      <w:proofErr w:type="spellEnd"/>
      <w:r w:rsidRPr="00A54B41">
        <w:rPr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 xml:space="preserve"> carbonica</w:t>
      </w:r>
      <w:r w:rsidRPr="00A54B41">
        <w:rPr>
          <w:rFonts w:ascii="Arial" w:hAnsi="Arial" w:cs="Arial"/>
          <w:color w:val="000000"/>
          <w:sz w:val="40"/>
          <w:szCs w:val="40"/>
          <w:shd w:val="clear" w:color="auto" w:fill="FFFFFF"/>
        </w:rPr>
        <w:t> , </w:t>
      </w:r>
    </w:p>
    <w:p w:rsidR="00A54B41" w:rsidRPr="00A54B41" w:rsidRDefault="00A54B41" w:rsidP="00A54B41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proofErr w:type="spellStart"/>
      <w:r w:rsidRPr="00A54B41">
        <w:rPr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Pulsatilla</w:t>
      </w:r>
      <w:proofErr w:type="spellEnd"/>
      <w:r w:rsidRPr="00A54B41">
        <w:rPr>
          <w:rFonts w:ascii="Arial" w:hAnsi="Arial" w:cs="Arial"/>
          <w:color w:val="000000"/>
          <w:sz w:val="40"/>
          <w:szCs w:val="40"/>
          <w:shd w:val="clear" w:color="auto" w:fill="FFFFFF"/>
        </w:rPr>
        <w:t> , </w:t>
      </w:r>
    </w:p>
    <w:p w:rsidR="00A54B41" w:rsidRPr="00A54B41" w:rsidRDefault="00A54B41" w:rsidP="00A54B41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A54B41">
        <w:rPr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Phosphorus</w:t>
      </w:r>
      <w:r w:rsidRPr="00A54B41">
        <w:rPr>
          <w:rFonts w:ascii="Arial" w:hAnsi="Arial" w:cs="Arial"/>
          <w:color w:val="000000"/>
          <w:sz w:val="40"/>
          <w:szCs w:val="40"/>
          <w:shd w:val="clear" w:color="auto" w:fill="FFFFFF"/>
        </w:rPr>
        <w:t> ,</w:t>
      </w:r>
    </w:p>
    <w:p w:rsidR="00A54B41" w:rsidRPr="00A54B41" w:rsidRDefault="00A54B41" w:rsidP="00A54B41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proofErr w:type="spellStart"/>
      <w:r w:rsidRPr="00A54B41">
        <w:rPr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Lycopodium</w:t>
      </w:r>
      <w:proofErr w:type="spellEnd"/>
      <w:r w:rsidRPr="00A54B41">
        <w:rPr>
          <w:rFonts w:ascii="Arial" w:hAnsi="Arial" w:cs="Arial"/>
          <w:color w:val="000000"/>
          <w:sz w:val="40"/>
          <w:szCs w:val="40"/>
          <w:shd w:val="clear" w:color="auto" w:fill="FFFFFF"/>
        </w:rPr>
        <w:t> , </w:t>
      </w:r>
    </w:p>
    <w:p w:rsidR="00A54B41" w:rsidRPr="00A54B41" w:rsidRDefault="00A54B41" w:rsidP="00A54B41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proofErr w:type="spellStart"/>
      <w:r w:rsidRPr="00A54B41">
        <w:rPr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Sulphur</w:t>
      </w:r>
      <w:proofErr w:type="spellEnd"/>
      <w:r w:rsidRPr="00A54B41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  </w:t>
      </w:r>
    </w:p>
    <w:p w:rsidR="00A54B41" w:rsidRPr="00A54B41" w:rsidRDefault="00A54B41" w:rsidP="00A54B41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A54B41">
        <w:rPr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 xml:space="preserve">Kali </w:t>
      </w:r>
      <w:proofErr w:type="spellStart"/>
      <w:r w:rsidRPr="00A54B41">
        <w:rPr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carbonica</w:t>
      </w:r>
      <w:proofErr w:type="spellEnd"/>
      <w:r w:rsidRPr="00A54B41">
        <w:rPr>
          <w:rFonts w:ascii="Arial" w:hAnsi="Arial" w:cs="Arial"/>
          <w:color w:val="000000"/>
          <w:sz w:val="40"/>
          <w:szCs w:val="40"/>
          <w:shd w:val="clear" w:color="auto" w:fill="FFFFFF"/>
        </w:rPr>
        <w:t> etc.</w:t>
      </w:r>
    </w:p>
    <w:p w:rsidR="00E538BA" w:rsidRPr="006469D5" w:rsidRDefault="00A54B41" w:rsidP="006469D5">
      <w:p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>There was significant change in size and symptoms of the patients with the treatment.</w:t>
      </w:r>
    </w:p>
    <w:p w:rsidR="0037136A" w:rsidRPr="006469D5" w:rsidRDefault="0037136A">
      <w:p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6469D5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6469D5">
        <w:rPr>
          <w:sz w:val="40"/>
          <w:szCs w:val="40"/>
        </w:rPr>
        <w:pict>
          <v:shape id="_x0000_i1026" type="#_x0000_t75" alt="" style="width:24pt;height:24pt"/>
        </w:pict>
      </w:r>
    </w:p>
    <w:p w:rsidR="0037136A" w:rsidRPr="006469D5" w:rsidRDefault="0037136A">
      <w:p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</w:p>
    <w:p w:rsidR="0037136A" w:rsidRPr="006469D5" w:rsidRDefault="0037136A">
      <w:p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</w:p>
    <w:p w:rsidR="0037136A" w:rsidRPr="006469D5" w:rsidRDefault="0037136A">
      <w:p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</w:p>
    <w:p w:rsidR="0037136A" w:rsidRPr="006469D5" w:rsidRDefault="0037136A">
      <w:p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</w:p>
    <w:p w:rsidR="0037136A" w:rsidRPr="006469D5" w:rsidRDefault="0037136A">
      <w:p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</w:p>
    <w:p w:rsidR="0037136A" w:rsidRPr="006469D5" w:rsidRDefault="0037136A">
      <w:p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</w:p>
    <w:p w:rsidR="0037136A" w:rsidRPr="006469D5" w:rsidRDefault="0037136A">
      <w:p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</w:p>
    <w:p w:rsidR="0037136A" w:rsidRPr="006469D5" w:rsidRDefault="0037136A">
      <w:p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</w:p>
    <w:p w:rsidR="0037136A" w:rsidRPr="006469D5" w:rsidRDefault="0037136A">
      <w:p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</w:p>
    <w:p w:rsidR="0037136A" w:rsidRPr="006469D5" w:rsidRDefault="0037136A">
      <w:p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</w:p>
    <w:p w:rsidR="0037136A" w:rsidRPr="006469D5" w:rsidRDefault="0037136A">
      <w:p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</w:p>
    <w:p w:rsidR="0037136A" w:rsidRPr="006469D5" w:rsidRDefault="0037136A">
      <w:p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</w:p>
    <w:p w:rsidR="0037136A" w:rsidRPr="006469D5" w:rsidRDefault="0037136A">
      <w:p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</w:p>
    <w:p w:rsidR="0037136A" w:rsidRPr="006469D5" w:rsidRDefault="0037136A">
      <w:p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</w:p>
    <w:p w:rsidR="0037136A" w:rsidRPr="006469D5" w:rsidRDefault="0037136A">
      <w:p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6469D5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 Homoeopathic Medicines were prescribed on the basis of </w:t>
      </w:r>
      <w:proofErr w:type="spellStart"/>
      <w:r w:rsidRPr="006469D5">
        <w:rPr>
          <w:rFonts w:ascii="Arial" w:hAnsi="Arial" w:cs="Arial"/>
          <w:color w:val="000000"/>
          <w:sz w:val="40"/>
          <w:szCs w:val="40"/>
          <w:shd w:val="clear" w:color="auto" w:fill="FFFFFF"/>
        </w:rPr>
        <w:t>repertorization</w:t>
      </w:r>
      <w:proofErr w:type="spellEnd"/>
      <w:r w:rsidRPr="006469D5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of the symptom totality. The improvement of the patients was assessed subjectively through the clinical symptoms and objectively through USG pelvis</w:t>
      </w:r>
    </w:p>
    <w:p w:rsidR="0037136A" w:rsidRPr="006469D5" w:rsidRDefault="0037136A">
      <w:pPr>
        <w:rPr>
          <w:sz w:val="40"/>
          <w:szCs w:val="40"/>
        </w:rPr>
      </w:pPr>
      <w:r w:rsidRPr="006469D5">
        <w:rPr>
          <w:rFonts w:ascii="Arial" w:hAnsi="Arial" w:cs="Arial"/>
          <w:color w:val="000000"/>
          <w:sz w:val="40"/>
          <w:szCs w:val="40"/>
          <w:shd w:val="clear" w:color="auto" w:fill="FFFFFF"/>
        </w:rPr>
        <w:t>Significant reduction in some of the symptoms/signs as well as in size of fibroid(s) (p= &lt;0.05).  were found to be most useful among the prescribed homoeopathic medicines.</w:t>
      </w:r>
    </w:p>
    <w:sectPr w:rsidR="0037136A" w:rsidRPr="006469D5" w:rsidSect="00102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3D87"/>
    <w:multiLevelType w:val="hybridMultilevel"/>
    <w:tmpl w:val="2C4AA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81C95"/>
    <w:multiLevelType w:val="hybridMultilevel"/>
    <w:tmpl w:val="75BE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14B78"/>
    <w:multiLevelType w:val="hybridMultilevel"/>
    <w:tmpl w:val="EC040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061AF"/>
    <w:multiLevelType w:val="hybridMultilevel"/>
    <w:tmpl w:val="8D347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84ACF"/>
    <w:multiLevelType w:val="hybridMultilevel"/>
    <w:tmpl w:val="6008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3211B"/>
    <w:multiLevelType w:val="hybridMultilevel"/>
    <w:tmpl w:val="88106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136A"/>
    <w:rsid w:val="00102FA2"/>
    <w:rsid w:val="0037136A"/>
    <w:rsid w:val="00532B1A"/>
    <w:rsid w:val="006469D5"/>
    <w:rsid w:val="00772BE3"/>
    <w:rsid w:val="00996596"/>
    <w:rsid w:val="00A54B41"/>
    <w:rsid w:val="00BB3025"/>
    <w:rsid w:val="00E53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Rajini</dc:creator>
  <cp:lastModifiedBy>Rajini</cp:lastModifiedBy>
  <cp:revision>2</cp:revision>
  <dcterms:created xsi:type="dcterms:W3CDTF">2023-03-29T19:56:00Z</dcterms:created>
  <dcterms:modified xsi:type="dcterms:W3CDTF">2023-03-29T19:56:00Z</dcterms:modified>
</cp:coreProperties>
</file>